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Theme="minorEastAsia" w:hAnsiTheme="minorEastAsia" w:eastAsiaTheme="minorEastAsia" w:cstheme="minorEastAsia"/>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Theme="minorEastAsia" w:hAnsiTheme="minorEastAsia" w:eastAsiaTheme="minorEastAsia" w:cstheme="minorEastAsia"/>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color w:val="auto"/>
          <w:sz w:val="44"/>
          <w:szCs w:val="44"/>
          <w:lang w:val="en-US" w:eastAsia="zh-CN"/>
        </w:rPr>
        <w:t>咸宁市海绵城市建设管理暂行办法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（2023年2月22日咸宁市第六届人民政府第24次常务会议审议通过　2023年3月21日咸宁市人民政府令第44号公布 自2023年5月1日起施行）</w:t>
      </w:r>
    </w:p>
    <w:p>
      <w:pPr>
        <w:bidi w:val="0"/>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32"/>
          <w:szCs w:val="32"/>
          <w:lang w:val="en-US" w:eastAsia="zh-CN"/>
        </w:rPr>
      </w:pPr>
      <w:r>
        <w:rPr>
          <w:rFonts w:hint="eastAsia" w:ascii="黑体" w:hAnsi="黑体" w:eastAsia="黑体" w:cs="黑体"/>
          <w:color w:val="auto"/>
          <w:sz w:val="32"/>
          <w:szCs w:val="32"/>
          <w:lang w:val="en-US" w:eastAsia="zh-CN"/>
        </w:rPr>
        <w:t>第一章 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b w:val="0"/>
          <w:bCs w:val="0"/>
          <w:color w:val="auto"/>
          <w:kern w:val="0"/>
          <w:sz w:val="32"/>
          <w:szCs w:val="32"/>
          <w:highlight w:val="none"/>
        </w:rPr>
        <w:t>第一条</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为了规范海绵城市规划、建设和管理，修复城市水生态、涵养水资源，建设武汉都市圈自然生态公园城市，促进人与自然和谐发展，根据《中华人民共和国城乡规划法》《建设工程质量管理条例》《城镇排水与污水处理条例》等法律法规，结合本市实际，制定本办法。</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第二条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本市行政区域内海绵城市的规划、建设和管理，适用本办法。</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海绵城市，是指在城镇开发边界范围内通过加强规划、建设和管理，充分发挥建筑、道路和绿地、水系等生态系统对雨水的吸纳、蓄渗和缓释作用，有效控制雨水径流，实现自然积存、自然渗透、自然净化的城市发展方式。</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本办法所称海绵设施，是指具备“渗、滞、蓄、净、用、排”一种或者多种功能，通过渗透、调蓄及净化等方式控制雨水径流的设施及附属构筑物，包含绿色设施与灰色设施。</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第三条</w:t>
      </w:r>
      <w:r>
        <w:rPr>
          <w:rFonts w:hint="eastAsia" w:ascii="仿宋_GB2312" w:hAnsi="仿宋_GB2312" w:eastAsia="仿宋_GB2312" w:cs="仿宋_GB2312"/>
          <w:b/>
          <w:bCs/>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海绵城市规划建设管理遵循生态为本、自然循环、规划引领、统筹推进、政府引导、社会参与的原则。</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第四条</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市、县（市、区）人民政府（含咸宁高新区管委会，下同）应当将海绵城市建设管理纳入国民经济和社会发展规划，建立工作协调机制，协调解决规划、建设和管理中的重大问题。</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县（市、区）人民政府是海绵城市建设的责任主体，按照属地原则，具体负责本行政区域内海绵城市建设管理工作。</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lang w:val="en-US" w:eastAsia="zh-CN" w:bidi="ar-SA"/>
        </w:rPr>
        <w:t>第五条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住建部门负责海绵城市建设监督管理工作，组织编制海绵城市专项规划、建设计划，对海绵设施的设计、施工进行监督管理。</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发改部门负责在可行性研究报告、初步设计审批等环节落实海绵城市建设要求。</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财政部门负责政府投资建设的海绵城市项目资金保障和使用监督管理。</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资源和规划部门负责在编制或者修编国土空间总体规划、控制性详细规划、修建性详细规划时落实海绵城市建设管控指标，在规划条件下达、规划设计方案审查、建设工程规划许可、规划条件核实等环节落实海绵城市建设要求。</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生态环境部门负责在流域水环境保护、水污染防治监督管理等环节落实海绵城市建设要求。</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水利和湖泊部门负责在河湖水系专项规划中落实海绵城市建设要求，指导和监督水利工程建设主体落实海绵城市建设要求。</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审计部门负责对政府投资的海绵城市建设项目实行全过程审计监督。</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交通运输、城管执法、气象、水文等部门按照各自职责做好海绵城市建设管理相关工作。</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六</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市、县（市、区）人民政府按照事权与支出责任相匹配的原则，建立本级海绵城市建设资金投入保障机制，统筹相关资金支持海绵城市建设。</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市、县（市、区）人民政府可以采取特许经营、政府购买服务等形式，鼓励社会资本参与海绵城市建设和管理。</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七</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b/>
          <w:bCs/>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市、县（市、区）人民政府及其有关部门应当广泛开展海绵城市知识科普宣传，引导单位和个人参与海绵城市建设和管理。</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鼓励海绵城市科学技术研究，支持推广应用先进适用的技术、工艺、设备和材料，发挥科学技术在海绵城市建设和管理中的支撑作用。</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jc w:val="both"/>
        <w:textAlignment w:val="auto"/>
        <w:rPr>
          <w:rFonts w:hint="eastAsia" w:ascii="仿宋_GB2312" w:hAnsi="仿宋_GB2312" w:eastAsia="仿宋_GB2312" w:cs="仿宋_GB2312"/>
          <w:b w:val="0"/>
          <w:bCs w:val="0"/>
          <w:color w:val="auto"/>
          <w:kern w:val="0"/>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jc w:val="center"/>
        <w:textAlignment w:val="auto"/>
        <w:rPr>
          <w:rFonts w:hint="eastAsia" w:ascii="黑体" w:hAnsi="黑体" w:eastAsia="黑体" w:cs="黑体"/>
          <w:b w:val="0"/>
          <w:bCs w:val="0"/>
          <w:color w:val="auto"/>
          <w:kern w:val="0"/>
          <w:sz w:val="32"/>
          <w:szCs w:val="32"/>
          <w:highlight w:val="none"/>
        </w:rPr>
      </w:pPr>
      <w:r>
        <w:rPr>
          <w:rFonts w:hint="eastAsia" w:ascii="黑体" w:hAnsi="黑体" w:eastAsia="黑体" w:cs="黑体"/>
          <w:b w:val="0"/>
          <w:bCs w:val="0"/>
          <w:color w:val="auto"/>
          <w:kern w:val="0"/>
          <w:sz w:val="32"/>
          <w:szCs w:val="32"/>
          <w:highlight w:val="none"/>
        </w:rPr>
        <w:t xml:space="preserve">第二章 </w:t>
      </w:r>
      <w:r>
        <w:rPr>
          <w:rFonts w:hint="eastAsia" w:ascii="黑体" w:hAnsi="黑体" w:eastAsia="黑体" w:cs="黑体"/>
          <w:b w:val="0"/>
          <w:bCs w:val="0"/>
          <w:color w:val="auto"/>
          <w:kern w:val="0"/>
          <w:sz w:val="32"/>
          <w:szCs w:val="32"/>
          <w:highlight w:val="none"/>
          <w:lang w:val="en-US" w:eastAsia="zh-CN"/>
        </w:rPr>
        <w:t xml:space="preserve"> </w:t>
      </w:r>
      <w:r>
        <w:rPr>
          <w:rFonts w:hint="eastAsia" w:ascii="黑体" w:hAnsi="黑体" w:eastAsia="黑体" w:cs="黑体"/>
          <w:b w:val="0"/>
          <w:bCs w:val="0"/>
          <w:color w:val="auto"/>
          <w:kern w:val="0"/>
          <w:sz w:val="32"/>
          <w:szCs w:val="32"/>
          <w:highlight w:val="none"/>
        </w:rPr>
        <w:t>规划和设计</w:t>
      </w:r>
    </w:p>
    <w:p>
      <w:pPr>
        <w:pStyle w:val="7"/>
        <w:keepNext w:val="0"/>
        <w:keepLines w:val="0"/>
        <w:pageBreakBefore w:val="0"/>
        <w:widowControl w:val="0"/>
        <w:kinsoku/>
        <w:wordWrap/>
        <w:overflowPunct/>
        <w:topLinePunct w:val="0"/>
        <w:autoSpaceDE/>
        <w:autoSpaceDN/>
        <w:bidi w:val="0"/>
        <w:spacing w:line="560" w:lineRule="exact"/>
        <w:textAlignment w:val="auto"/>
        <w:rPr>
          <w:rFonts w:hint="eastAsia"/>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八</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市、县（市、区）人民政府住建部门应当会同同级自然资源和规划、生态环境、水利和湖泊、城管执法、气象、水文等相关部门，组织编制本行政区域海绵城市专项规划，报本级人民政府批准后公布实施。</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海绵城市专项规划应当明确海绵城市建设“渗、滞、蓄、净、用、排”所需的空间布局和雨水年径流总量控制率等海绵城市建设管控指标。</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九</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编制或者修编国土空间总体规划，应当体现海绵城市建设理念，明确海绵城市建设的目标及发展策略，将雨水年径流总量控制率、降雨就地消纳率等作为其刚性控制指标，统筹谋划、系统考虑。</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编制或者修编控制性详细规划以及道路、绿地、水系、排水防涝、绿色建筑等专项规划时，应当加强与海绵城市建设专项规划之间衔接，全面落实海绵城市建设要求。</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lang w:eastAsia="zh-CN"/>
        </w:rPr>
        <w:t>第十条</w:t>
      </w:r>
      <w:r>
        <w:rPr>
          <w:rFonts w:hint="eastAsia" w:ascii="仿宋_GB2312" w:hAnsi="仿宋_GB2312" w:eastAsia="仿宋_GB2312" w:cs="仿宋_GB2312"/>
          <w:b/>
          <w:bCs/>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海绵城市规划、建设应当符合国家、省有关海绵城市建设的技术标准，并达到以下要求：</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（一）雨水年径流总量控制率符合规划要求，雨水滞蓄和收集净化利用能力提高；</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（二）雨污实现分流，径流污染、合流制污水溢流污染有效控制，城市黑臭水体基本消除；</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（三）城市防洪排涝能力提升、设施逐步完善，城市易涝点基本消除；</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（四）自然河流、水系、湿地等水生态系统得到保护，受破坏的水生态系统修复，热岛效应缓解；</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（五）其他要求。</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lang w:val="en-US" w:eastAsia="zh-CN"/>
        </w:rPr>
        <w:t>第十一条</w:t>
      </w:r>
      <w:r>
        <w:rPr>
          <w:rFonts w:hint="eastAsia" w:ascii="仿宋_GB2312" w:hAnsi="仿宋_GB2312" w:eastAsia="仿宋_GB2312" w:cs="仿宋_GB2312"/>
          <w:color w:val="auto"/>
          <w:kern w:val="0"/>
          <w:sz w:val="32"/>
          <w:szCs w:val="32"/>
          <w:highlight w:val="none"/>
          <w:lang w:val="en-US" w:eastAsia="zh-CN" w:bidi="ar"/>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自然资源和规划部门供应城市建设用地时，规划设计条件中应当明确海绵城市建设具体内容和指标要求，并在规划条件核实时进行核查。</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不需要办理选址、土地供应手续的政府投资改造类项目，在项目策划生成阶段，建设单位应当征求住建部门意见，住建部门应当明确提出海绵城市建设管控指标。</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lang w:val="en-US" w:eastAsia="zh-CN"/>
        </w:rPr>
        <w:t>第十二条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建设项目的修建性详细规划方案或者总平面设计方案，应当按照规划（设计）条件和技术规范中的海绵城市建设要求，编制海绵城市设计方案，明确雨水年径流总量控制率等海绵城市建设控制指标、建设内容、投资概算等。</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自然资源和规划部门应当将海绵城市专项规划条件纳入建设工程规划许可审查和规划条件核实范围，在规划审批环节加强对项目建设范围内既有海绵设施的保护。</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第十</w:t>
      </w:r>
      <w:r>
        <w:rPr>
          <w:rFonts w:hint="eastAsia" w:ascii="黑体" w:hAnsi="黑体" w:eastAsia="黑体" w:cs="黑体"/>
          <w:b w:val="0"/>
          <w:bCs w:val="0"/>
          <w:color w:val="auto"/>
          <w:kern w:val="0"/>
          <w:sz w:val="32"/>
          <w:szCs w:val="32"/>
          <w:highlight w:val="none"/>
          <w:lang w:eastAsia="zh-CN"/>
        </w:rPr>
        <w:t>三</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建设项目可行性研究报告、初步设计应当明确海绵城市建设要求。</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建设项目规划设计方案、施工图设计文件应当符合《湖北省海绵城市规划设计规程》（DB42T1714-2021）、《海绵城市建设技术规程》(DB42/T1887-2022)和《海绵城市设计文件编制深度》(DB42/T1888-2022)等海绵城市建设相关技术规范。</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第十</w:t>
      </w:r>
      <w:r>
        <w:rPr>
          <w:rFonts w:hint="eastAsia" w:ascii="黑体" w:hAnsi="黑体" w:eastAsia="黑体" w:cs="黑体"/>
          <w:b w:val="0"/>
          <w:bCs w:val="0"/>
          <w:color w:val="auto"/>
          <w:kern w:val="0"/>
          <w:sz w:val="32"/>
          <w:szCs w:val="32"/>
          <w:highlight w:val="none"/>
          <w:lang w:eastAsia="zh-CN"/>
        </w:rPr>
        <w:t>四</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设计单位编制施工图设计文件时，应当按照规划要求进行海绵城市设计，不得降低海绵城市建设管控的指标要求和海绵城市设施的建设标准。</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施工图设计文件审查机构应当依法对海绵设施内容进行审查，未达到建设工程规划许可和海绵城市建设技术规范要求的，不得出具施工图审查合格证书。</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十五</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b/>
          <w:bCs/>
          <w:i w:val="0"/>
          <w:caps w:val="0"/>
          <w:color w:val="auto"/>
          <w:spacing w:val="0"/>
          <w:sz w:val="32"/>
          <w:szCs w:val="32"/>
          <w:highlight w:val="none"/>
          <w:shd w:val="clear" w:color="auto" w:fill="FFFFFF"/>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禁止擅自填湖造地、截弯取直、河道硬化、河道箱涵化等破坏水生态环境的建设行为。</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第十</w:t>
      </w:r>
      <w:r>
        <w:rPr>
          <w:rFonts w:hint="eastAsia" w:ascii="黑体" w:hAnsi="黑体" w:eastAsia="黑体" w:cs="黑体"/>
          <w:b w:val="0"/>
          <w:bCs w:val="0"/>
          <w:color w:val="auto"/>
          <w:kern w:val="0"/>
          <w:sz w:val="32"/>
          <w:szCs w:val="32"/>
          <w:highlight w:val="none"/>
          <w:lang w:eastAsia="zh-CN"/>
        </w:rPr>
        <w:t>六</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新建、改建、扩建建设工程项目，原则上应当配套海绵设施，但符合下列条件之一的，可以不配套建设海绵设施：</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（一）位于特殊污染源地区内的建设项目；</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（二）文物保护工程、抢险救灾工程、软基处理工程、保密工程，以及临时性建筑、军用房屋建筑、桥梁、隧道、照明、清淤工程等类型建设项目；</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（三）已正式交付使用的建筑小区、学校、医院、办公场所等区域配建养老、健身、停车、变配电室、水气热力加压站、食堂等配套公共建筑；</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（四）不涉及室外工程的旧建筑物的翻新、改造、加固等工程；</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（五）投资额在一百万元以下或者建筑面积在五百平方米以下的建筑工程；</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（六）法律法规规章规定可以不配套建设海绵设施的其他工程。</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jc w:val="both"/>
        <w:textAlignment w:val="auto"/>
        <w:rPr>
          <w:rFonts w:hint="eastAsia" w:ascii="仿宋_GB2312" w:hAnsi="仿宋_GB2312" w:eastAsia="仿宋_GB2312" w:cs="仿宋_GB2312"/>
          <w:b w:val="0"/>
          <w:bCs w:val="0"/>
          <w:color w:val="auto"/>
          <w:kern w:val="0"/>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jc w:val="center"/>
        <w:textAlignment w:val="auto"/>
        <w:rPr>
          <w:rFonts w:hint="eastAsia" w:ascii="黑体" w:hAnsi="黑体" w:eastAsia="黑体" w:cs="黑体"/>
          <w:b w:val="0"/>
          <w:bCs w:val="0"/>
          <w:color w:val="auto"/>
          <w:kern w:val="0"/>
          <w:sz w:val="32"/>
          <w:szCs w:val="32"/>
          <w:highlight w:val="none"/>
          <w:lang w:eastAsia="zh-CN"/>
        </w:rPr>
      </w:pPr>
      <w:r>
        <w:rPr>
          <w:rFonts w:hint="eastAsia" w:ascii="黑体" w:hAnsi="黑体" w:eastAsia="黑体" w:cs="黑体"/>
          <w:b w:val="0"/>
          <w:bCs w:val="0"/>
          <w:color w:val="auto"/>
          <w:kern w:val="0"/>
          <w:sz w:val="32"/>
          <w:szCs w:val="32"/>
          <w:highlight w:val="none"/>
        </w:rPr>
        <w:t xml:space="preserve">第三章 </w:t>
      </w:r>
      <w:r>
        <w:rPr>
          <w:rFonts w:hint="eastAsia" w:ascii="黑体" w:hAnsi="黑体" w:eastAsia="黑体" w:cs="黑体"/>
          <w:b w:val="0"/>
          <w:bCs w:val="0"/>
          <w:color w:val="auto"/>
          <w:kern w:val="0"/>
          <w:sz w:val="32"/>
          <w:szCs w:val="32"/>
          <w:highlight w:val="none"/>
          <w:lang w:val="en-US" w:eastAsia="zh-CN"/>
        </w:rPr>
        <w:t xml:space="preserve"> </w:t>
      </w:r>
      <w:r>
        <w:rPr>
          <w:rFonts w:hint="eastAsia" w:ascii="黑体" w:hAnsi="黑体" w:eastAsia="黑体" w:cs="黑体"/>
          <w:b w:val="0"/>
          <w:bCs w:val="0"/>
          <w:color w:val="auto"/>
          <w:kern w:val="0"/>
          <w:sz w:val="32"/>
          <w:szCs w:val="32"/>
          <w:highlight w:val="none"/>
        </w:rPr>
        <w:t>建设和</w:t>
      </w:r>
      <w:r>
        <w:rPr>
          <w:rFonts w:hint="eastAsia" w:ascii="黑体" w:hAnsi="黑体" w:eastAsia="黑体" w:cs="黑体"/>
          <w:b w:val="0"/>
          <w:bCs w:val="0"/>
          <w:color w:val="auto"/>
          <w:kern w:val="0"/>
          <w:sz w:val="32"/>
          <w:szCs w:val="32"/>
          <w:highlight w:val="none"/>
          <w:lang w:eastAsia="zh-CN"/>
        </w:rPr>
        <w:t>维护</w:t>
      </w:r>
    </w:p>
    <w:p>
      <w:pPr>
        <w:pStyle w:val="7"/>
        <w:keepNext w:val="0"/>
        <w:keepLines w:val="0"/>
        <w:pageBreakBefore w:val="0"/>
        <w:widowControl w:val="0"/>
        <w:kinsoku/>
        <w:wordWrap/>
        <w:overflowPunct/>
        <w:topLinePunct w:val="0"/>
        <w:autoSpaceDE/>
        <w:autoSpaceDN/>
        <w:bidi w:val="0"/>
        <w:spacing w:line="560" w:lineRule="exact"/>
        <w:textAlignment w:val="auto"/>
        <w:rPr>
          <w:rFonts w:hint="eastAsia"/>
          <w:sz w:val="32"/>
          <w:szCs w:val="32"/>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第十</w:t>
      </w:r>
      <w:r>
        <w:rPr>
          <w:rFonts w:hint="eastAsia" w:ascii="黑体" w:hAnsi="黑体" w:eastAsia="黑体" w:cs="黑体"/>
          <w:b w:val="0"/>
          <w:bCs w:val="0"/>
          <w:color w:val="auto"/>
          <w:kern w:val="0"/>
          <w:sz w:val="32"/>
          <w:szCs w:val="32"/>
          <w:highlight w:val="none"/>
          <w:lang w:eastAsia="zh-CN"/>
        </w:rPr>
        <w:t>七</w:t>
      </w:r>
      <w:r>
        <w:rPr>
          <w:rFonts w:hint="eastAsia" w:ascii="黑体" w:hAnsi="黑体" w:eastAsia="黑体" w:cs="黑体"/>
          <w:b w:val="0"/>
          <w:bCs w:val="0"/>
          <w:color w:val="auto"/>
          <w:kern w:val="0"/>
          <w:sz w:val="32"/>
          <w:szCs w:val="32"/>
          <w:highlight w:val="none"/>
        </w:rPr>
        <w:t>条</w:t>
      </w:r>
      <w:r>
        <w:rPr>
          <w:rFonts w:hint="eastAsia" w:ascii="黑体" w:hAnsi="黑体" w:eastAsia="黑体" w:cs="黑体"/>
          <w:b w:val="0"/>
          <w:bCs w:val="0"/>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新建、改建、扩建项目配套建设的海绵设施应当与主体工程同步设计、同步建设、同步验收、同步移交运营，建设费用纳入建设项目总成本。</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color w:val="auto"/>
          <w:kern w:val="0"/>
          <w:sz w:val="32"/>
          <w:szCs w:val="32"/>
          <w:highlight w:val="none"/>
        </w:rPr>
      </w:pPr>
      <w:r>
        <w:rPr>
          <w:rFonts w:hint="eastAsia" w:ascii="黑体" w:hAnsi="黑体" w:eastAsia="黑体" w:cs="黑体"/>
          <w:b w:val="0"/>
          <w:bCs w:val="0"/>
          <w:color w:val="auto"/>
          <w:kern w:val="0"/>
          <w:sz w:val="32"/>
          <w:szCs w:val="32"/>
          <w:highlight w:val="none"/>
        </w:rPr>
        <w:t>第十</w:t>
      </w:r>
      <w:r>
        <w:rPr>
          <w:rFonts w:hint="eastAsia" w:ascii="黑体" w:hAnsi="黑体" w:eastAsia="黑体" w:cs="黑体"/>
          <w:b w:val="0"/>
          <w:bCs w:val="0"/>
          <w:color w:val="auto"/>
          <w:kern w:val="0"/>
          <w:sz w:val="32"/>
          <w:szCs w:val="32"/>
          <w:highlight w:val="none"/>
          <w:lang w:eastAsia="zh-CN"/>
        </w:rPr>
        <w:t>八</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b/>
          <w:bCs/>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建设单位应当组织设计、施工、监理等相关参与单位，全面落实海绵城市建设相关要求，不得使用不合格的建筑材料、建筑构配件和设备，不得降低海绵城市建设工程标准。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第十</w:t>
      </w:r>
      <w:r>
        <w:rPr>
          <w:rFonts w:hint="eastAsia" w:ascii="黑体" w:hAnsi="黑体" w:eastAsia="黑体" w:cs="黑体"/>
          <w:b w:val="0"/>
          <w:bCs w:val="0"/>
          <w:color w:val="auto"/>
          <w:kern w:val="0"/>
          <w:sz w:val="32"/>
          <w:szCs w:val="32"/>
          <w:highlight w:val="none"/>
          <w:lang w:eastAsia="zh-CN"/>
        </w:rPr>
        <w:t>九</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施工单位应当按照工程设计图纸和施工技术标准施工，不得降低海绵设施建设标准。施工过程中不得擅自破坏既有海绵设施。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监理单位应当依照法律法规以及海绵城市有关技术标准、设计文件、工程监理合同约定等实施监理，承担监理责任。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二十</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建设单位在组织建设工程竣工验收时,应当同时对配套海绵设施进行验收。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住建部门对未按照法律法规和规划（设计）条件、海绵城市建设相关技术规范对工程配套海绵设施进行验收，或者验收不合格的，不予办理工程竣工验收备案手续。</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二十一</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海绵城市建设项目未经验收或者验收不合格的，不得交付使用。</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二十二</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海绵设施按照“谁使用谁管理，谁管理谁负责”的原则，由相关单位负责管理维护：</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（一）市政道路、园林绿地、排水设施等公用设施配套的海绵设施，移交前由建设单位负责管理维护，移交后由市政公用设施管理部门负责管理维护；</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（二）公共建筑配套的海绵设施由其产权单位或者使用单位负责管理维护；</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（三）建筑与小区配套的海绵设施由物业管理单位按照物业服务合同负责管理维护；</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（四）其他社会投资建设项目配套的海绵设施，由所有权人负责管理维护。所有权人不明的，由投资人作为管理维护责任主体。</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按照前款规定不能确定管理维护单位的，由住建部门按照相关规定指定。管理维护责任主体可以自行维护，也可以委托其他主体进行维护。</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第二十</w:t>
      </w:r>
      <w:r>
        <w:rPr>
          <w:rFonts w:hint="eastAsia" w:ascii="黑体" w:hAnsi="黑体" w:eastAsia="黑体" w:cs="黑体"/>
          <w:b w:val="0"/>
          <w:bCs w:val="0"/>
          <w:color w:val="auto"/>
          <w:kern w:val="0"/>
          <w:sz w:val="32"/>
          <w:szCs w:val="32"/>
          <w:highlight w:val="none"/>
          <w:lang w:eastAsia="zh-CN"/>
        </w:rPr>
        <w:t>三</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海绵设施管理维护单位应当建立健全管理制度，加强日常巡查、维修和养护，保障设施正常运行。</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rPr>
        <w:t>第二十</w:t>
      </w:r>
      <w:r>
        <w:rPr>
          <w:rFonts w:hint="eastAsia" w:ascii="黑体" w:hAnsi="黑体" w:eastAsia="黑体" w:cs="黑体"/>
          <w:b w:val="0"/>
          <w:bCs w:val="0"/>
          <w:color w:val="auto"/>
          <w:kern w:val="0"/>
          <w:sz w:val="32"/>
          <w:szCs w:val="32"/>
          <w:highlight w:val="none"/>
          <w:lang w:eastAsia="zh-CN"/>
        </w:rPr>
        <w:t>四</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任何单位和个人不得非法侵占、损毁海绵化设施。非法侵占、损毁海绵化设施的，管理维护单位有权要求恢复原状。单位和个人确需临时拆除、改动、占用海绵化设施的，应当向管理维护单位作出书面承诺，及时对原海绵化设施予以恢复并承担设施恢复费用。</w:t>
      </w:r>
    </w:p>
    <w:p>
      <w:pPr>
        <w:pStyle w:val="7"/>
        <w:keepNext w:val="0"/>
        <w:keepLines w:val="0"/>
        <w:pageBreakBefore w:val="0"/>
        <w:widowControl w:val="0"/>
        <w:kinsoku/>
        <w:wordWrap/>
        <w:overflowPunct/>
        <w:topLinePunct w:val="0"/>
        <w:autoSpaceDE/>
        <w:autoSpaceDN/>
        <w:bidi w:val="0"/>
        <w:spacing w:line="560" w:lineRule="exact"/>
        <w:ind w:left="0" w:leftChars="0" w:firstLine="642"/>
        <w:jc w:val="both"/>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jc w:val="center"/>
        <w:textAlignment w:val="auto"/>
        <w:rPr>
          <w:rFonts w:hint="eastAsia" w:ascii="黑体" w:hAnsi="黑体" w:eastAsia="黑体" w:cs="黑体"/>
          <w:b w:val="0"/>
          <w:bCs w:val="0"/>
          <w:color w:val="auto"/>
          <w:kern w:val="0"/>
          <w:sz w:val="32"/>
          <w:szCs w:val="32"/>
          <w:highlight w:val="none"/>
          <w:lang w:eastAsia="zh-CN"/>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四</w:t>
      </w:r>
      <w:r>
        <w:rPr>
          <w:rFonts w:hint="eastAsia" w:ascii="黑体" w:hAnsi="黑体" w:eastAsia="黑体" w:cs="黑体"/>
          <w:b w:val="0"/>
          <w:bCs w:val="0"/>
          <w:color w:val="auto"/>
          <w:kern w:val="0"/>
          <w:sz w:val="32"/>
          <w:szCs w:val="32"/>
          <w:highlight w:val="none"/>
        </w:rPr>
        <w:t>章</w:t>
      </w:r>
      <w:r>
        <w:rPr>
          <w:rFonts w:hint="eastAsia" w:ascii="黑体" w:hAnsi="黑体" w:eastAsia="黑体" w:cs="黑体"/>
          <w:b w:val="0"/>
          <w:bCs w:val="0"/>
          <w:color w:val="auto"/>
          <w:kern w:val="0"/>
          <w:sz w:val="32"/>
          <w:szCs w:val="32"/>
          <w:highlight w:val="none"/>
          <w:lang w:val="en-US" w:eastAsia="zh-CN"/>
        </w:rPr>
        <w:t xml:space="preserve">  </w:t>
      </w:r>
      <w:r>
        <w:rPr>
          <w:rFonts w:hint="eastAsia" w:ascii="黑体" w:hAnsi="黑体" w:eastAsia="黑体" w:cs="黑体"/>
          <w:b w:val="0"/>
          <w:bCs w:val="0"/>
          <w:color w:val="auto"/>
          <w:kern w:val="0"/>
          <w:sz w:val="32"/>
          <w:szCs w:val="32"/>
          <w:highlight w:val="none"/>
          <w:lang w:eastAsia="zh-CN"/>
        </w:rPr>
        <w:t>考核和监督</w:t>
      </w:r>
    </w:p>
    <w:p>
      <w:pPr>
        <w:pStyle w:val="7"/>
        <w:keepNext w:val="0"/>
        <w:keepLines w:val="0"/>
        <w:pageBreakBefore w:val="0"/>
        <w:widowControl w:val="0"/>
        <w:kinsoku/>
        <w:wordWrap/>
        <w:overflowPunct/>
        <w:topLinePunct w:val="0"/>
        <w:autoSpaceDE/>
        <w:autoSpaceDN/>
        <w:bidi w:val="0"/>
        <w:spacing w:line="560" w:lineRule="exact"/>
        <w:textAlignment w:val="auto"/>
        <w:rPr>
          <w:rFonts w:hint="eastAsia" w:ascii="黑体" w:hAnsi="黑体" w:eastAsia="黑体" w:cs="黑体"/>
          <w:b w:val="0"/>
          <w:bCs w:val="0"/>
          <w:color w:val="auto"/>
          <w:kern w:val="0"/>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color w:val="auto"/>
          <w:kern w:val="0"/>
          <w:sz w:val="32"/>
          <w:szCs w:val="32"/>
          <w:highlight w:val="none"/>
          <w:lang w:val="en-US" w:eastAsia="zh-CN" w:bidi="ar-SA"/>
        </w:rPr>
        <w:t>第二十五条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市人民政府对县（市、区）人民政府海绵城市建设情况进行年度考评，考评结果纳入生态文明建设考核体系。县（市、区）人民政府对相关部门海绵城市建设情况进行年度考评，考评结果纳入生态文明建设考核体系。</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住建部门应当适时组织对本辖区海绵城市建设项目的运行、维护效果进行评估。</w:t>
      </w:r>
    </w:p>
    <w:p>
      <w:pPr>
        <w:pStyle w:val="7"/>
        <w:keepNext w:val="0"/>
        <w:keepLines w:val="0"/>
        <w:pageBreakBefore w:val="0"/>
        <w:widowControl w:val="0"/>
        <w:kinsoku/>
        <w:wordWrap/>
        <w:overflowPunct/>
        <w:topLinePunct w:val="0"/>
        <w:autoSpaceDE/>
        <w:autoSpaceDN/>
        <w:bidi w:val="0"/>
        <w:spacing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b w:val="0"/>
          <w:bCs w:val="0"/>
          <w:color w:val="auto"/>
          <w:kern w:val="0"/>
          <w:sz w:val="32"/>
          <w:szCs w:val="32"/>
          <w:highlight w:val="none"/>
          <w:lang w:val="en-US" w:eastAsia="zh-CN" w:bidi="ar-SA"/>
        </w:rPr>
        <w:t>第二十六条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自然资源和规划、住建、水利和湖泊等部门按照职责，通过行政许可、工程质量监督、技术审查等方式对建设项目的海绵城市规划、设计、施工、竣工验收等工作进行监督管理，督促建设项目相关单位进行整改，并定期向本级人民政府报告。</w:t>
      </w:r>
    </w:p>
    <w:p>
      <w:pPr>
        <w:pStyle w:val="7"/>
        <w:keepNext w:val="0"/>
        <w:keepLines w:val="0"/>
        <w:pageBreakBefore w:val="0"/>
        <w:widowControl w:val="0"/>
        <w:kinsoku/>
        <w:wordWrap/>
        <w:overflowPunct/>
        <w:topLinePunct w:val="0"/>
        <w:autoSpaceDE/>
        <w:autoSpaceDN/>
        <w:bidi w:val="0"/>
        <w:spacing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b w:val="0"/>
          <w:bCs w:val="0"/>
          <w:color w:val="auto"/>
          <w:kern w:val="0"/>
          <w:sz w:val="32"/>
          <w:szCs w:val="32"/>
          <w:highlight w:val="none"/>
          <w:lang w:val="en-US" w:eastAsia="zh-CN" w:bidi="ar-SA"/>
        </w:rPr>
        <w:t>第二十七条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住建部门应当建立海绵城市设施运营维护检查和考核制度，监督运营单位对海绵城市设施进行日常维护。</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b w:val="0"/>
          <w:bCs w:val="0"/>
          <w:color w:val="auto"/>
          <w:kern w:val="0"/>
          <w:sz w:val="32"/>
          <w:szCs w:val="32"/>
          <w:highlight w:val="none"/>
          <w:lang w:val="en-US" w:eastAsia="zh-CN"/>
        </w:rPr>
        <w:t>第</w:t>
      </w:r>
      <w:r>
        <w:rPr>
          <w:rFonts w:hint="eastAsia" w:ascii="黑体" w:hAnsi="黑体" w:eastAsia="黑体" w:cs="黑体"/>
          <w:b w:val="0"/>
          <w:bCs w:val="0"/>
          <w:color w:val="auto"/>
          <w:kern w:val="0"/>
          <w:sz w:val="32"/>
          <w:szCs w:val="32"/>
          <w:highlight w:val="none"/>
        </w:rPr>
        <w:t>二十</w:t>
      </w:r>
      <w:r>
        <w:rPr>
          <w:rFonts w:hint="eastAsia" w:ascii="黑体" w:hAnsi="黑体" w:eastAsia="黑体" w:cs="黑体"/>
          <w:b w:val="0"/>
          <w:bCs w:val="0"/>
          <w:color w:val="auto"/>
          <w:kern w:val="0"/>
          <w:sz w:val="32"/>
          <w:szCs w:val="32"/>
          <w:highlight w:val="none"/>
          <w:lang w:eastAsia="zh-CN"/>
        </w:rPr>
        <w:t>八</w:t>
      </w:r>
      <w:r>
        <w:rPr>
          <w:rFonts w:hint="eastAsia" w:ascii="黑体" w:hAnsi="黑体" w:eastAsia="黑体" w:cs="黑体"/>
          <w:b w:val="0"/>
          <w:bCs w:val="0"/>
          <w:color w:val="auto"/>
          <w:kern w:val="0"/>
          <w:sz w:val="32"/>
          <w:szCs w:val="32"/>
          <w:highlight w:val="none"/>
          <w:lang w:val="en-US" w:eastAsia="zh-CN"/>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住建部门履行海绵城市建设监督检查职责时，有权采取下列措施：</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（一）要求被检查单位提供有关海绵设施工程质量的文件和资料；</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（二）进入被检查单位施工现场进行检查；</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（三）发现影响海绵设施工程质量问题时，责令其改正。</w:t>
      </w:r>
    </w:p>
    <w:p>
      <w:pPr>
        <w:keepNext w:val="0"/>
        <w:keepLines w:val="0"/>
        <w:pageBreakBefore w:val="0"/>
        <w:widowControl w:val="0"/>
        <w:shd w:val="clear" w:color="auto" w:fill="FFFFFF"/>
        <w:kinsoku/>
        <w:wordWrap/>
        <w:overflowPunct/>
        <w:topLinePunct w:val="0"/>
        <w:autoSpaceDE/>
        <w:autoSpaceDN/>
        <w:bidi w:val="0"/>
        <w:spacing w:line="560" w:lineRule="exact"/>
        <w:ind w:left="0" w:leftChars="0" w:firstLine="480"/>
        <w:jc w:val="both"/>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jc w:val="center"/>
        <w:textAlignment w:val="auto"/>
        <w:rPr>
          <w:rFonts w:hint="eastAsia" w:ascii="黑体" w:hAnsi="黑体" w:eastAsia="黑体" w:cs="黑体"/>
          <w:b w:val="0"/>
          <w:bCs w:val="0"/>
          <w:color w:val="auto"/>
          <w:kern w:val="0"/>
          <w:sz w:val="32"/>
          <w:szCs w:val="32"/>
          <w:highlight w:val="none"/>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五</w:t>
      </w:r>
      <w:r>
        <w:rPr>
          <w:rFonts w:hint="eastAsia" w:ascii="黑体" w:hAnsi="黑体" w:eastAsia="黑体" w:cs="黑体"/>
          <w:b w:val="0"/>
          <w:bCs w:val="0"/>
          <w:color w:val="auto"/>
          <w:kern w:val="0"/>
          <w:sz w:val="32"/>
          <w:szCs w:val="32"/>
          <w:highlight w:val="none"/>
        </w:rPr>
        <w:t>章</w:t>
      </w:r>
      <w:r>
        <w:rPr>
          <w:rFonts w:hint="eastAsia" w:ascii="黑体" w:hAnsi="黑体" w:eastAsia="黑体" w:cs="黑体"/>
          <w:b w:val="0"/>
          <w:bCs w:val="0"/>
          <w:color w:val="auto"/>
          <w:kern w:val="0"/>
          <w:sz w:val="32"/>
          <w:szCs w:val="32"/>
          <w:highlight w:val="none"/>
          <w:lang w:val="en-US" w:eastAsia="zh-CN"/>
        </w:rPr>
        <w:t xml:space="preserve">  </w:t>
      </w:r>
      <w:r>
        <w:rPr>
          <w:rFonts w:hint="eastAsia" w:ascii="黑体" w:hAnsi="黑体" w:eastAsia="黑体" w:cs="黑体"/>
          <w:b w:val="0"/>
          <w:bCs w:val="0"/>
          <w:color w:val="auto"/>
          <w:kern w:val="0"/>
          <w:sz w:val="32"/>
          <w:szCs w:val="32"/>
          <w:highlight w:val="none"/>
        </w:rPr>
        <w:t>法律责任</w:t>
      </w:r>
    </w:p>
    <w:p>
      <w:pPr>
        <w:pStyle w:val="7"/>
        <w:keepNext w:val="0"/>
        <w:keepLines w:val="0"/>
        <w:pageBreakBefore w:val="0"/>
        <w:widowControl w:val="0"/>
        <w:kinsoku/>
        <w:wordWrap/>
        <w:overflowPunct/>
        <w:topLinePunct w:val="0"/>
        <w:autoSpaceDE/>
        <w:autoSpaceDN/>
        <w:bidi w:val="0"/>
        <w:spacing w:line="560" w:lineRule="exact"/>
        <w:textAlignment w:val="auto"/>
        <w:rPr>
          <w:rFonts w:hint="eastAsia"/>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二十九</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违反本办法，法律法规已有法律责任规定的，从其规定。</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三十</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办法第二十三条规定，海绵设施管理维护单位未履行日常巡查、维修和养护责任，造成设施不能正常运行的，由住建部门责令限期改正，逾期未改正的，处五百元以上二千元以下罚款；造成严重后果的，处二千元以上五千元以下罚款。</w:t>
      </w: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三十一</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行政主管部门及其工作人员违反本办法规定，在海绵城市建设监督管理中玩忽职</w:t>
      </w:r>
      <w:bookmarkStart w:id="0" w:name="_GoBack"/>
      <w:bookmarkEnd w:id="0"/>
      <w:r>
        <w:rPr>
          <w:rFonts w:hint="eastAsia" w:ascii="仿宋_GB2312" w:hAnsi="仿宋_GB2312" w:eastAsia="仿宋_GB2312" w:cs="仿宋_GB2312"/>
          <w:i w:val="0"/>
          <w:caps w:val="0"/>
          <w:color w:val="333333"/>
          <w:spacing w:val="0"/>
          <w:kern w:val="2"/>
          <w:sz w:val="32"/>
          <w:szCs w:val="32"/>
          <w:shd w:val="clear" w:fill="FFFFFF"/>
          <w:lang w:val="en-US" w:eastAsia="zh-CN" w:bidi="ar-SA"/>
        </w:rPr>
        <w:t>守、滥用职权、徇私舞弊的，对负有直接责任的主管人员和其他直接责任人员依法给予处分；构成犯罪的，依法追究刑事责任。</w:t>
      </w:r>
    </w:p>
    <w:p>
      <w:pPr>
        <w:pStyle w:val="7"/>
        <w:keepNext w:val="0"/>
        <w:keepLines w:val="0"/>
        <w:pageBreakBefore w:val="0"/>
        <w:widowControl w:val="0"/>
        <w:kinsoku/>
        <w:wordWrap/>
        <w:overflowPunct/>
        <w:topLinePunct w:val="0"/>
        <w:autoSpaceDE/>
        <w:autoSpaceDN/>
        <w:bidi w:val="0"/>
        <w:spacing w:line="560" w:lineRule="exact"/>
        <w:ind w:left="0" w:leftChars="0"/>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before="0" w:line="560" w:lineRule="exact"/>
        <w:ind w:left="0" w:leftChars="0"/>
        <w:jc w:val="center"/>
        <w:textAlignment w:val="auto"/>
        <w:rPr>
          <w:rFonts w:hint="eastAsia" w:ascii="黑体" w:hAnsi="黑体" w:eastAsia="黑体" w:cs="黑体"/>
          <w:b w:val="0"/>
          <w:bCs w:val="0"/>
          <w:color w:val="auto"/>
          <w:kern w:val="0"/>
          <w:sz w:val="32"/>
          <w:szCs w:val="32"/>
          <w:highlight w:val="none"/>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六</w:t>
      </w:r>
      <w:r>
        <w:rPr>
          <w:rFonts w:hint="eastAsia" w:ascii="黑体" w:hAnsi="黑体" w:eastAsia="黑体" w:cs="黑体"/>
          <w:b w:val="0"/>
          <w:bCs w:val="0"/>
          <w:color w:val="auto"/>
          <w:kern w:val="0"/>
          <w:sz w:val="32"/>
          <w:szCs w:val="32"/>
          <w:highlight w:val="none"/>
        </w:rPr>
        <w:t xml:space="preserve">章 </w:t>
      </w:r>
      <w:r>
        <w:rPr>
          <w:rFonts w:hint="eastAsia" w:ascii="黑体" w:hAnsi="黑体" w:eastAsia="黑体" w:cs="黑体"/>
          <w:b w:val="0"/>
          <w:bCs w:val="0"/>
          <w:color w:val="auto"/>
          <w:kern w:val="0"/>
          <w:sz w:val="32"/>
          <w:szCs w:val="32"/>
          <w:highlight w:val="none"/>
          <w:lang w:val="en-US" w:eastAsia="zh-CN"/>
        </w:rPr>
        <w:t xml:space="preserve"> </w:t>
      </w:r>
      <w:r>
        <w:rPr>
          <w:rFonts w:hint="eastAsia" w:ascii="黑体" w:hAnsi="黑体" w:eastAsia="黑体" w:cs="黑体"/>
          <w:b w:val="0"/>
          <w:bCs w:val="0"/>
          <w:color w:val="auto"/>
          <w:kern w:val="0"/>
          <w:sz w:val="32"/>
          <w:szCs w:val="32"/>
          <w:highlight w:val="none"/>
        </w:rPr>
        <w:t>附</w:t>
      </w:r>
      <w:r>
        <w:rPr>
          <w:rFonts w:hint="eastAsia" w:ascii="黑体" w:hAnsi="黑体" w:eastAsia="黑体" w:cs="黑体"/>
          <w:b w:val="0"/>
          <w:bCs w:val="0"/>
          <w:color w:val="auto"/>
          <w:kern w:val="0"/>
          <w:sz w:val="32"/>
          <w:szCs w:val="32"/>
          <w:highlight w:val="none"/>
          <w:lang w:val="en-US" w:eastAsia="zh-CN"/>
        </w:rPr>
        <w:t xml:space="preserve">  </w:t>
      </w:r>
      <w:r>
        <w:rPr>
          <w:rFonts w:hint="eastAsia" w:ascii="黑体" w:hAnsi="黑体" w:eastAsia="黑体" w:cs="黑体"/>
          <w:b w:val="0"/>
          <w:bCs w:val="0"/>
          <w:color w:val="auto"/>
          <w:kern w:val="0"/>
          <w:sz w:val="32"/>
          <w:szCs w:val="32"/>
          <w:highlight w:val="none"/>
        </w:rPr>
        <w:t>则</w:t>
      </w:r>
    </w:p>
    <w:p>
      <w:pPr>
        <w:pStyle w:val="7"/>
        <w:keepNext w:val="0"/>
        <w:keepLines w:val="0"/>
        <w:pageBreakBefore w:val="0"/>
        <w:widowControl w:val="0"/>
        <w:kinsoku/>
        <w:wordWrap/>
        <w:overflowPunct/>
        <w:topLinePunct w:val="0"/>
        <w:autoSpaceDE/>
        <w:autoSpaceDN/>
        <w:bidi w:val="0"/>
        <w:spacing w:line="560" w:lineRule="exact"/>
        <w:textAlignment w:val="auto"/>
        <w:rPr>
          <w:rFonts w:hint="eastAsia"/>
          <w:sz w:val="32"/>
          <w:szCs w:val="32"/>
          <w:highlight w:val="none"/>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165" w:beforeAutospacing="0" w:after="60" w:afterAutospacing="0" w:line="240" w:lineRule="auto"/>
        <w:ind w:left="0" w:right="0"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b w:val="0"/>
          <w:bCs w:val="0"/>
          <w:color w:val="auto"/>
          <w:kern w:val="0"/>
          <w:sz w:val="32"/>
          <w:szCs w:val="32"/>
          <w:highlight w:val="none"/>
        </w:rPr>
        <w:t>第</w:t>
      </w:r>
      <w:r>
        <w:rPr>
          <w:rFonts w:hint="eastAsia" w:ascii="黑体" w:hAnsi="黑体" w:eastAsia="黑体" w:cs="黑体"/>
          <w:b w:val="0"/>
          <w:bCs w:val="0"/>
          <w:color w:val="auto"/>
          <w:kern w:val="0"/>
          <w:sz w:val="32"/>
          <w:szCs w:val="32"/>
          <w:highlight w:val="none"/>
          <w:lang w:eastAsia="zh-CN"/>
        </w:rPr>
        <w:t>三十二</w:t>
      </w:r>
      <w:r>
        <w:rPr>
          <w:rFonts w:hint="eastAsia" w:ascii="黑体" w:hAnsi="黑体" w:eastAsia="黑体" w:cs="黑体"/>
          <w:b w:val="0"/>
          <w:bCs w:val="0"/>
          <w:color w:val="auto"/>
          <w:kern w:val="0"/>
          <w:sz w:val="32"/>
          <w:szCs w:val="32"/>
          <w:highlight w:val="none"/>
        </w:rPr>
        <w:t>条</w:t>
      </w:r>
      <w:r>
        <w:rPr>
          <w:rFonts w:hint="eastAsia" w:ascii="仿宋_GB2312" w:hAnsi="仿宋_GB2312" w:eastAsia="仿宋_GB2312" w:cs="仿宋_GB2312"/>
          <w:b/>
          <w:bCs/>
          <w:color w:val="auto"/>
          <w:kern w:val="0"/>
          <w:sz w:val="32"/>
          <w:szCs w:val="32"/>
          <w:highlight w:val="none"/>
          <w:lang w:val="en-US" w:eastAsia="zh-CN"/>
        </w:rPr>
        <w:t xml:space="preserve">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本办法自2023年5月1日起施行。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heme="minorEastAsia" w:hAnsiTheme="minorEastAsia" w:eastAsiaTheme="minorEastAsia" w:cstheme="minorEastAsia"/>
          <w:color w:val="auto"/>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咸宁市人民政府发布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咸宁市</w:t>
    </w:r>
    <w:r>
      <w:rPr>
        <w:rFonts w:hint="eastAsia" w:ascii="宋体" w:hAnsi="宋体" w:eastAsia="宋体" w:cs="宋体"/>
        <w:b/>
        <w:bCs/>
        <w:color w:val="005192"/>
        <w:sz w:val="32"/>
        <w:lang w:eastAsia="zh-CN"/>
      </w:rPr>
      <w:t>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jMjAzODljZWRlYzYxODdiMWRlNzc4OTg0YjEzNzAifQ=="/>
  </w:docVars>
  <w:rsids>
    <w:rsidRoot w:val="00172A27"/>
    <w:rsid w:val="019E71BD"/>
    <w:rsid w:val="04B679C3"/>
    <w:rsid w:val="080F63D8"/>
    <w:rsid w:val="090D12BC"/>
    <w:rsid w:val="09341458"/>
    <w:rsid w:val="0B0912D7"/>
    <w:rsid w:val="0C3575AF"/>
    <w:rsid w:val="14632E2D"/>
    <w:rsid w:val="152D2DCA"/>
    <w:rsid w:val="1DEC284C"/>
    <w:rsid w:val="1E6523AC"/>
    <w:rsid w:val="22440422"/>
    <w:rsid w:val="25EA6CB4"/>
    <w:rsid w:val="2C04518B"/>
    <w:rsid w:val="2D48282B"/>
    <w:rsid w:val="2EE353B0"/>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58C5DE7"/>
    <w:rsid w:val="665233C1"/>
    <w:rsid w:val="67FB7A01"/>
    <w:rsid w:val="6AD9688B"/>
    <w:rsid w:val="6C3D038B"/>
    <w:rsid w:val="6D0E3F22"/>
    <w:rsid w:val="7A171250"/>
    <w:rsid w:val="7A2F39E3"/>
    <w:rsid w:val="7C9011D9"/>
    <w:rsid w:val="7C9970AA"/>
    <w:rsid w:val="7DC651C5"/>
    <w:rsid w:val="7FCC2834"/>
    <w:rsid w:val="BDF9E6EC"/>
    <w:rsid w:val="DF7FB7CE"/>
    <w:rsid w:val="FF6D9D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next w:val="1"/>
    <w:qFormat/>
    <w:uiPriority w:val="0"/>
    <w:pPr>
      <w:widowControl w:val="0"/>
      <w:spacing w:after="120"/>
      <w:ind w:left="420" w:leftChars="200" w:firstLine="420" w:firstLineChars="200"/>
      <w:jc w:val="both"/>
    </w:pPr>
    <w:rPr>
      <w:rFonts w:ascii="Calibri" w:hAnsi="Calibri" w:eastAsia="宋体" w:cs="Times New Roman"/>
      <w:kern w:val="2"/>
      <w:sz w:val="21"/>
      <w:szCs w:val="24"/>
      <w:lang w:val="en-US" w:eastAsia="zh-CN" w:bidi="ar-SA"/>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2"/>
    <w:next w:val="1"/>
    <w:unhideWhenUsed/>
    <w:qFormat/>
    <w:uiPriority w:val="39"/>
    <w:pPr>
      <w:widowControl w:val="0"/>
      <w:suppressAutoHyphens/>
      <w:bidi w:val="0"/>
      <w:ind w:left="420" w:leftChars="200"/>
      <w:jc w:val="both"/>
    </w:pPr>
    <w:rPr>
      <w:rFonts w:ascii="Calibri" w:hAnsi="Calibri" w:eastAsia="宋体" w:cs="Times New Roman"/>
      <w:color w:val="auto"/>
      <w:kern w:val="2"/>
      <w:sz w:val="21"/>
      <w:szCs w:val="24"/>
      <w:lang w:val="en-US" w:eastAsia="zh-CN" w:bidi="ar-SA"/>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1">
    <w:name w:val="Emphasis"/>
    <w:basedOn w:val="10"/>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4161</Words>
  <Characters>4222</Characters>
  <Lines>1</Lines>
  <Paragraphs>1</Paragraphs>
  <TotalTime>5</TotalTime>
  <ScaleCrop>false</ScaleCrop>
  <LinksUpToDate>false</LinksUpToDate>
  <CharactersWithSpaces>4266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2021-09-10T02:41:00Z</dcterms:created>
  <dc:creator>t</dc:creator>
  <cp:lastModifiedBy>陈鑫</cp:lastModifiedBy>
  <cp:lastPrinted>2021-10-27T03:30:00Z</cp:lastPrinted>
  <dcterms:modified xsi:type="dcterms:W3CDTF">2023-06-08T08:56:14Z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16608703D45C4ABA984C6ED59CEE9B3B_13</vt:lpwstr>
  </property>
</Properties>
</file>